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76" w:before="0" w:after="0"/>
        <w:ind w:left="0" w:right="0" w:hanging="0"/>
        <w:jc w:val="center"/>
        <w:rPr>
          <w:rFonts w:ascii="TIMES NEW ROMAN" w:hAnsi="TIMES NEW ROMAN"/>
          <w:sz w:val="25"/>
          <w:szCs w:val="25"/>
        </w:rPr>
      </w:pPr>
      <w:r>
        <w:rPr>
          <w:rFonts w:ascii="TIMES NEW ROMAN" w:hAnsi="TIMES NEW ROMAN"/>
          <w:b/>
          <w:bCs/>
          <w:i w:val="false"/>
          <w:iCs w:val="false"/>
          <w:caps w:val="false"/>
          <w:smallCaps w:val="false"/>
          <w:color w:val="000000"/>
          <w:spacing w:val="0"/>
          <w:sz w:val="25"/>
          <w:szCs w:val="25"/>
          <w:u w:val="single"/>
          <w:shd w:fill="auto" w:val="clear"/>
        </w:rPr>
        <w:t>Weekly Commercial report based on various news and analysis (16 - 22 February 2026)</w:t>
      </w:r>
    </w:p>
    <w:p>
      <w:pPr>
        <w:pStyle w:val="Normal"/>
        <w:widowControl/>
        <w:bidi w:val="0"/>
        <w:spacing w:lineRule="auto" w:line="240" w:before="144" w:after="115"/>
        <w:ind w:left="720" w:right="0" w:hanging="360"/>
        <w:jc w:val="left"/>
        <w:rPr>
          <w:rFonts w:ascii="TIMES NEW ROMAN" w:hAnsi="TIMES NEW ROMAN"/>
          <w:sz w:val="25"/>
          <w:szCs w:val="25"/>
        </w:rPr>
      </w:pPr>
      <w:r>
        <w:rPr>
          <w:rFonts w:ascii="TIMES NEW ROMAN" w:hAnsi="TIMES NEW ROMAN"/>
          <w:b/>
          <w:bCs/>
          <w:i w:val="false"/>
          <w:iCs w:val="false"/>
          <w:caps w:val="false"/>
          <w:smallCaps w:val="false"/>
          <w:color w:val="000000"/>
          <w:spacing w:val="0"/>
          <w:sz w:val="25"/>
          <w:szCs w:val="25"/>
          <w:u w:val="single"/>
          <w:shd w:fill="auto" w:val="clear"/>
        </w:rPr>
        <w:t>Fiscal policies/economic performance</w:t>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Treasury affirms country’s debt sustainability</w:t>
      </w:r>
    </w:p>
    <w:p>
      <w:pPr>
        <w:pStyle w:val="Normal"/>
        <w:numPr>
          <w:ilvl w:val="0"/>
          <w:numId w:val="5"/>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According to the National Treasury’s 2025 Debt Sustainability Analysis (DSA), Kenya’s public debt remains sustainable, though the risk of debt distress is classified as high. At 65.3% of GDP in Present Value (PV) as of the end of last year, the cost of servicing debt still remains high and a cause of concern. </w:t>
      </w:r>
    </w:p>
    <w:p>
      <w:pPr>
        <w:pStyle w:val="Normal"/>
        <w:numPr>
          <w:ilvl w:val="0"/>
          <w:numId w:val="5"/>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The sustainability is supported by planned fiscal consolidation and expected export growth, acting as buffer to the public debt which stood at Kshs 12.25 trillion (US$ 94.95 billion) as of end November 2025 according to Central Bank of Kenya (CBK) weekly bulletin dated February 13, 2026. </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CBK projects 4% rise in diaspora remittances</w:t>
      </w:r>
    </w:p>
    <w:p>
      <w:pPr>
        <w:pStyle w:val="Normal"/>
        <w:numPr>
          <w:ilvl w:val="0"/>
          <w:numId w:val="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Supported by recovery in inflows from Saudi Arabia, which last year was overtaken by UK as second source for the same due to higher remittance costs and sweeping labour market reforms, CBK has projected this year’s diaspora remittances to grow by 3.97% to stand at US$ 5.24 billion (US$ 675.27 billion) from U$5.04 billion (Kshs 649.5 billion) in 2025.</w:t>
      </w:r>
    </w:p>
    <w:p>
      <w:pPr>
        <w:pStyle w:val="Normal"/>
        <w:numPr>
          <w:ilvl w:val="0"/>
          <w:numId w:val="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Albeit being the slowest yearly growth in remittances since 2009, the latter was still Kenya's biggest and most stable source of foreign exchange. The inflows continue to support the balance of payments (BOP) at a time when other external inflows, such as foreign direct investment and export earnings, are under pressure from weak global demand and high financing costs.</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GOK </w:t>
      </w:r>
      <w:hyperlink r:id="rId2">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in push to exit the FATF grey list</w:t>
        </w:r>
      </w:hyperlink>
    </w:p>
    <w:p>
      <w:pPr>
        <w:pStyle w:val="Normal"/>
        <w:numPr>
          <w:ilvl w:val="0"/>
          <w:numId w:val="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Government of Kenya (GOK) is pushing for April 2026 exit from the Financial Action Task Force (FATF) "grey list". The country was placed under the jurisdiction for increased monitoring of deficiencies in February 2024 following an evaluation that revealed gaps in prosecuting financial crimes and regulating designated non-financial businesses and professions (DNFBPs). </w:t>
      </w:r>
    </w:p>
    <w:p>
      <w:pPr>
        <w:pStyle w:val="Normal"/>
        <w:numPr>
          <w:ilvl w:val="0"/>
          <w:numId w:val="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Among efforts for the delisting that </w:t>
      </w:r>
      <w:r>
        <w:rPr>
          <w:rStyle w:val="Strong"/>
          <w:rFonts w:eastAsia="Bookman Old Style" w:cs="Leelawadee" w:ascii="TIMES NEW ROMAN" w:hAnsi="TIMES NEW ROMAN"/>
          <w:b w:val="false"/>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imposes enhanced due diligence on financial transactions involving the country, potentially deterring foreign investment and increasing compliance costs for businesses, include last year’s passage of anti-money laundering and combating of terrorism financing laws. </w:t>
      </w:r>
    </w:p>
    <w:p>
      <w:pPr>
        <w:pStyle w:val="Normal"/>
        <w:bidi w:val="0"/>
        <w:jc w:val="both"/>
        <w:rPr>
          <w:rFonts w:ascii="TIMES NEW ROMAN" w:hAnsi="TIMES NEW ROMAN"/>
          <w:sz w:val="25"/>
          <w:szCs w:val="25"/>
        </w:rPr>
      </w:pPr>
      <w:r>
        <w:rPr>
          <w:rFonts w:ascii="TIMES NEW ROMAN" w:hAnsi="TIMES NEW ROMAN"/>
          <w:sz w:val="25"/>
          <w:szCs w:val="25"/>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Petitioners seek stay of orders against NIF</w:t>
      </w:r>
    </w:p>
    <w:p>
      <w:pPr>
        <w:pStyle w:val="Normal"/>
        <w:numPr>
          <w:ilvl w:val="0"/>
          <w:numId w:val="8"/>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Despite the National Treasury’s February 16, 2026 official publication of a gazette notice forwarding the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National Infrastructure Fund (NIF) Bill, 2026</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to Parliament, petitioners against the initiative have urged the court to stay orders for its </w:t>
      </w:r>
      <w:r>
        <w:rPr>
          <w:rStyle w:val="Emphasis"/>
          <w:rFonts w:eastAsia="Bookman Old Style" w:cs="Leelawadee" w:ascii="TIMES NEW ROMAN" w:hAnsi="TIMES NEW ROMAN"/>
          <w:b w:val="false"/>
          <w:bCs w:val="false"/>
          <w:i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temporary suspension. Citing constitutional violation as petitioned, the High Court granted orders against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the </w:t>
      </w:r>
      <w:r>
        <w:rPr>
          <w:rStyle w:val="Emphasis"/>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Kshs 5 trillion (US$ 38.76 billion) fund </w:t>
      </w:r>
      <w:r>
        <w:rPr>
          <w:rStyle w:val="Emphasis"/>
          <w:rFonts w:eastAsia="Bookman Old Style" w:cs="Leelawadee" w:ascii="TIMES NEW ROMAN" w:hAnsi="TIMES NEW ROMAN"/>
          <w:b w:val="false"/>
          <w:bCs w:val="false"/>
          <w:i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on December 24, 2025.</w:t>
      </w:r>
    </w:p>
    <w:p>
      <w:pPr>
        <w:pStyle w:val="Normal"/>
        <w:numPr>
          <w:ilvl w:val="0"/>
          <w:numId w:val="8"/>
        </w:numPr>
        <w:bidi w:val="0"/>
        <w:jc w:val="both"/>
        <w:rPr/>
      </w:pPr>
      <w:r>
        <w:rPr>
          <w:rStyle w:val="Emphasis"/>
          <w:rFonts w:eastAsia="Bookman Old Style" w:cs="Leelawadee" w:ascii="TIMES NEW ROMAN" w:hAnsi="TIMES NEW ROMAN"/>
          <w:b w:val="false"/>
          <w:bCs w:val="false"/>
          <w:i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Led by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Cabinet Secretary (CS) </w:t>
      </w:r>
      <w:r>
        <w:rPr>
          <w:rStyle w:val="Emphasis"/>
          <w:rFonts w:eastAsia="Bookman Old Style" w:cs="Leelawadee" w:ascii="TIMES NEW ROMAN" w:hAnsi="TIMES NEW ROMAN"/>
          <w:b w:val="false"/>
          <w:bCs w:val="false"/>
          <w:i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John Mbadi, GOK has continued to push the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sovereign investment vehicle </w:t>
      </w:r>
      <w:r>
        <w:rPr>
          <w:rStyle w:val="Emphasis"/>
          <w:rFonts w:eastAsia="Bookman Old Style" w:cs="Leelawadee" w:ascii="TIMES NEW ROMAN" w:hAnsi="TIMES NEW ROMAN"/>
          <w:b w:val="false"/>
          <w:bCs w:val="false"/>
          <w:i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project intended to leverage private capital for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commercially viable public infrastructure projects. This is besides aiming to drive economic growth, and ensure long-term financing beyond political cycles.</w:t>
      </w:r>
    </w:p>
    <w:p>
      <w:pPr>
        <w:pStyle w:val="Normal"/>
        <w:bidi w:val="0"/>
        <w:jc w:val="both"/>
        <w:rPr>
          <w:rFonts w:ascii="TIMES NEW ROMAN" w:hAnsi="TIMES NEW ROMAN" w:eastAsia="Calibri" w:cs="Leelawadee"/>
          <w:b/>
          <w:bCs/>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Calibri"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bidi w:val="0"/>
        <w:jc w:val="both"/>
        <w:rPr>
          <w:rFonts w:ascii="TIMES NEW ROMAN" w:hAnsi="TIMES NEW ROMAN" w:eastAsia="Calibri" w:cs="Leelawadee"/>
          <w:b/>
          <w:bCs/>
          <w:i w:val="false"/>
          <w:i w:val="false"/>
          <w:iCs w:val="false"/>
          <w:caps w:val="false"/>
          <w:smallCaps w:val="false"/>
          <w:strike w:val="false"/>
          <w:dstrike w:val="false"/>
          <w:outline w:val="false"/>
          <w:shadow w:val="false"/>
          <w:color w:val="auto"/>
          <w:spacing w:val="0"/>
          <w:sz w:val="25"/>
          <w:szCs w:val="25"/>
          <w:highlight w:val="none"/>
          <w:u w:val="none"/>
          <w:effect w:val="none"/>
          <w:shd w:fill="auto" w:val="clear"/>
          <w:em w:val="none"/>
          <w:lang w:val="en-US"/>
        </w:rPr>
      </w:pPr>
      <w:r>
        <w:rPr>
          <w:rFonts w:eastAsia="Calibri"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GOK debt service surges 39.1%</w:t>
      </w:r>
    </w:p>
    <w:p>
      <w:pPr>
        <w:pStyle w:val="Normal"/>
        <w:numPr>
          <w:ilvl w:val="0"/>
          <w:numId w:val="9"/>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Treasury data showed GOK debt service spend for the current fiscal year 2025-26 (July - January) grew 39.1% to stand at Kshs 1.08 trillion (US$ 8.35 billion) compared to Kshs 772.83 billion (US$ 6.00 billion) in similar period in 2024-25. Corresponding to this was an exponential rise i.e. 79.9% of the debt service cost vis-a-vis Kshs 1.34 trillion (US$ 10.40 billion) in total tax collection in the period, up from 61.7% in July - January of FY 2024-25.</w:t>
      </w:r>
    </w:p>
    <w:p>
      <w:pPr>
        <w:pStyle w:val="Normal"/>
        <w:numPr>
          <w:ilvl w:val="0"/>
          <w:numId w:val="9"/>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Amid crowding out spending on much needed development projects and essential services e.g. healthcare and education, this expenditure is projected to rise further, in tandem with corresponding rise in total public debt stock which stood at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Kshs 11.73 trillion (US$ 91.08 billion)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with Kshs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6.34 trillion (US$ 49.22 billion </w:t>
      </w:r>
      <w:r>
        <w:rPr>
          <w:rStyle w:val="Strong"/>
          <w:rFonts w:eastAsia="Bookman Old Style" w:cs="Leelawadee" w:ascii="TIMES NEW ROMAN" w:hAnsi="TIMES NEW ROMAN"/>
          <w:b w:val="false"/>
          <w:i/>
          <w:iCs/>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(equivalent to 54% share)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in domestic debt</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 and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Kshs 5.40 trillion (US$ 41.93 billion) </w:t>
      </w:r>
      <w:r>
        <w:rPr>
          <w:rStyle w:val="Strong"/>
          <w:rFonts w:eastAsia="Bookman Old Style" w:cs="Leelawadee" w:ascii="TIMES NEW ROMAN" w:hAnsi="TIMES NEW ROMAN"/>
          <w:b w:val="false"/>
          <w:i/>
          <w:iCs/>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(46% share</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in external, a</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s of June 30, 2025. </w:t>
      </w:r>
    </w:p>
    <w:p>
      <w:pPr>
        <w:pStyle w:val="Normal"/>
        <w:bidi w:val="0"/>
        <w:jc w:val="both"/>
        <w:rPr>
          <w:rStyle w:val="Strong"/>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Kenya's trade deficit widens after two years slump</w:t>
      </w:r>
    </w:p>
    <w:p>
      <w:pPr>
        <w:pStyle w:val="Normal"/>
        <w:numPr>
          <w:ilvl w:val="0"/>
          <w:numId w:val="10"/>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KNBS 2025 data showed a 5.66% rise in the trade deficit away from a preceding two-years slump. At Kshs 1.68 trillion (US$ 13.04 billion) in commodity value trade compared to Kshs 1.59 trillion in 2024, this demonstrated continued rise in imports of high-value capital goods including equipment and machinery vis-a-vis corresponding exports, mostly raw, semi-processed or unprocessed agricultural commodities like tea and horticulture. Imports of the aforementioned i.e. machinery &amp; equipment and electronics saw China - Kshs 671.25 billion (US$ 5.21 billion) from Kshs 577.94 billion (US$ 4.49 billion) and India - Kshs 293.05 billion (US$ 2.28 billion) from Kshs 263.75 billion (US$ 2.05 billion) maintain positions one(1) and three (3) respectively among Kenya’s top import source countries.</w:t>
      </w:r>
    </w:p>
    <w:p>
      <w:pPr>
        <w:pStyle w:val="Normal"/>
        <w:numPr>
          <w:ilvl w:val="0"/>
          <w:numId w:val="10"/>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While the duo registered significant growth in commodity export values into Kenya i.e. China - 93.31% and India - 29.31%, positioned No.2 UAE saw a 13.52% dip to Kshs 324.09 billion (US$ 2.52 billion) from Kshs 337.62 billion (US$ 2.62 billion). Japan, USA and Saudi Arabia closed the top 6 at Kshs 141.17 billion (US$ </w:t>
        <w:tab/>
        <w:t xml:space="preserve">1.10 billion) </w:t>
      </w:r>
      <w:r>
        <w:rPr>
          <w:rStyle w:val="Strong"/>
          <w:rFonts w:eastAsia="Bookman Old Style" w:cs="Leelawadee" w:ascii="TIMES NEW ROMAN" w:hAnsi="TIMES NEW ROMAN"/>
          <w:b w:val="false"/>
          <w:bCs w:val="false"/>
          <w:i/>
          <w:iCs/>
          <w:caps w:val="false"/>
          <w:smallCaps w:val="false"/>
          <w:strike w:val="false"/>
          <w:dstrike w:val="false"/>
          <w:outline w:val="false"/>
          <w:shadow w:val="false"/>
          <w:color w:val="000000"/>
          <w:spacing w:val="0"/>
          <w:sz w:val="25"/>
          <w:szCs w:val="25"/>
          <w:u w:val="none"/>
          <w:effect w:val="none"/>
          <w:shd w:fill="auto" w:val="clear"/>
          <w:em w:val="none"/>
          <w:lang w:val="en-US"/>
        </w:rPr>
        <w:t xml:space="preserve">(equivalent to 31.56% rise),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Kshs 136.28 billion (US$ 1.06 billion) </w:t>
      </w:r>
      <w:r>
        <w:rPr>
          <w:rStyle w:val="Strong"/>
          <w:rFonts w:eastAsia="Bookman Old Style" w:cs="Leelawadee" w:ascii="TIMES NEW ROMAN" w:hAnsi="TIMES NEW ROMAN"/>
          <w:b w:val="false"/>
          <w:bCs w:val="false"/>
          <w:i/>
          <w:iCs/>
          <w:caps w:val="false"/>
          <w:smallCaps w:val="false"/>
          <w:strike w:val="false"/>
          <w:dstrike w:val="false"/>
          <w:outline w:val="false"/>
          <w:shadow w:val="false"/>
          <w:color w:val="000000"/>
          <w:spacing w:val="0"/>
          <w:sz w:val="25"/>
          <w:szCs w:val="25"/>
          <w:u w:val="none"/>
          <w:effect w:val="none"/>
          <w:shd w:fill="auto" w:val="clear"/>
          <w:em w:val="none"/>
          <w:lang w:val="en-US"/>
        </w:rPr>
        <w:t xml:space="preserve">(equivalent to 19.42% dip),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and Kshs 99.65 billion (US$ 773.71 million) </w:t>
      </w:r>
      <w:r>
        <w:rPr>
          <w:rStyle w:val="Strong"/>
          <w:rFonts w:eastAsia="Bookman Old Style" w:cs="Leelawadee" w:ascii="TIMES NEW ROMAN" w:hAnsi="TIMES NEW ROMAN"/>
          <w:b w:val="false"/>
          <w:bCs w:val="false"/>
          <w:i/>
          <w:iCs/>
          <w:caps w:val="false"/>
          <w:smallCaps w:val="false"/>
          <w:strike w:val="false"/>
          <w:dstrike w:val="false"/>
          <w:outline w:val="false"/>
          <w:shadow w:val="false"/>
          <w:color w:val="000000"/>
          <w:spacing w:val="0"/>
          <w:sz w:val="25"/>
          <w:szCs w:val="25"/>
          <w:u w:val="none"/>
          <w:effect w:val="none"/>
          <w:shd w:fill="auto" w:val="clear"/>
          <w:em w:val="none"/>
          <w:lang w:val="en-US"/>
        </w:rPr>
        <w:t xml:space="preserve">(equivalent to 47.26% rise),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respectively. </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Debt repayment to usurp over half of GOK’s 2026-27 tax revenue</w:t>
      </w:r>
    </w:p>
    <w:p>
      <w:pPr>
        <w:pStyle w:val="Normal"/>
        <w:numPr>
          <w:ilvl w:val="0"/>
          <w:numId w:val="11"/>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According to the draft Division of Revenue Bill, 2026, over half of GOK’s next year’s projected tax revenue will be used to service debt. The largest share in Kenya’s history, Kshs 1.54 trillion (US$ 11.96 billion) of the anticipated Kshs 2.91 trillion (US$ 22.59 billion) in ordinary revenue will go toward loan repayments, raising concerns about the country’s ability to fund essential programmes e.g. healthcare and education.</w:t>
      </w:r>
    </w:p>
    <w:p>
      <w:pPr>
        <w:pStyle w:val="Normal"/>
        <w:numPr>
          <w:ilvl w:val="0"/>
          <w:numId w:val="11"/>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At stake is development spend with the aforementioned rising from Kshs 1.43 trillion (US$ 11.10 billion) in current fiscal year, indicative of steady increase in debt obligations.</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sz w:val="25"/>
          <w:szCs w:val="25"/>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Kenya in Kshs 45 billion illegal fishing annual loss</w:t>
      </w:r>
    </w:p>
    <w:p>
      <w:pPr>
        <w:pStyle w:val="Normal"/>
        <w:numPr>
          <w:ilvl w:val="0"/>
          <w:numId w:val="1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According to the State Dept. for the Blue Economy, Kenya loses an estimated Kshs 45 billion (US$ 349.39 million) annually to illegal fishing. Despite having implemented robust legal and regulatory reforms, unreported and overfishing are still a menace in the vast inland freshwater bodies and a rich coastline along the Indian Ocean.</w:t>
      </w:r>
    </w:p>
    <w:p>
      <w:pPr>
        <w:pStyle w:val="Normal"/>
        <w:numPr>
          <w:ilvl w:val="0"/>
          <w:numId w:val="1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Risking severe depletion of fish stocks, experts have now called on stakeholders, among them the government to increase funding to the sector in order to address issues such as monitoring and surveillance technology that hamper efforts to reverse the trend. </w:t>
      </w:r>
    </w:p>
    <w:p>
      <w:pPr>
        <w:pStyle w:val="Normal"/>
        <w:numPr>
          <w:ilvl w:val="0"/>
          <w:numId w:val="0"/>
        </w:numPr>
        <w:bidi w:val="0"/>
        <w:ind w:left="720" w:hanging="0"/>
        <w:jc w:val="both"/>
        <w:rPr>
          <w:rStyle w:val="Strong"/>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Court upholds privatisation law opening sale of 11 SOEs</w:t>
      </w:r>
    </w:p>
    <w:p>
      <w:pPr>
        <w:pStyle w:val="Normal"/>
        <w:numPr>
          <w:ilvl w:val="0"/>
          <w:numId w:val="13"/>
        </w:numPr>
        <w:bidi w:val="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On February 19, 2026, the High Court dismissed petitions challenging the Privatisation Act, 2025, effectively paving the way for GOK sale of stakes in state-owned enterprises (SOEs). Consumer Federation of Kenya (COFEK) had challenged the ongoing Initial Public Offer (IPO) of Kenya Pipeline Company Ltd. (KPC) following an earlier petition by Busia Senator Okiya Omtatah and two other parties, citing unconstitutionality, against the new law assented to on October 10, 2025.</w:t>
      </w:r>
    </w:p>
    <w:p>
      <w:pPr>
        <w:pStyle w:val="Normal"/>
        <w:numPr>
          <w:ilvl w:val="0"/>
          <w:numId w:val="13"/>
        </w:numPr>
        <w:bidi w:val="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With the ruling, GOK may, for now at least, continue with the bid to raise Kshs 600 billion (US$ 4.66 billion) by divesting from eleven(11) state-owned enterprises - among them Kenyatta International Convention Centre (KICC) and National Oil Corporation of Kenya, fundamentally altering the macroeconomic landscape.</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Treasury seeks Kshs 80 billion in private sector infrastructure funding </w:t>
      </w:r>
    </w:p>
    <w:p>
      <w:pPr>
        <w:pStyle w:val="Normal"/>
        <w:numPr>
          <w:ilvl w:val="0"/>
          <w:numId w:val="14"/>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According to the 2026 Budget Policy Statement (BPS), Treasury seeks </w:t>
      </w:r>
      <w:r>
        <w:rPr>
          <w:rStyle w:val="Strong"/>
          <w:rFonts w:eastAsia="Bookman Old Style" w:cs="Leelawadee" w:ascii="TIMES NEW ROMAN" w:hAnsi="TIMES NEW ROMAN"/>
          <w:b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Kshs 80 billion (US$ 621.15 million)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in private sector investment for infrastructure development in the upcoming fiscal year. A seismic shift in macroeconomic strategy which includes a broader initiative for raising Kshs 5 trillion through a proposed National Infrastructure Fund, this points to a significant push towards Public-Private Partnerships (PPPs) and Privately Initiated Proposals (PIPs), way from a ballooning public debt.</w:t>
      </w:r>
    </w:p>
    <w:p>
      <w:pPr>
        <w:pStyle w:val="Normal"/>
        <w:numPr>
          <w:ilvl w:val="0"/>
          <w:numId w:val="14"/>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In the current FY 2025-26, Kshs 70 billion (US$ 543.50 million) has been targeted for the same, aimed at funding roads, airports, power plants and transmission lines. At least forty(40) projects are in the PPP pipeline with ten(10) under implementation and others at development stages. </w:t>
      </w:r>
    </w:p>
    <w:p>
      <w:pPr>
        <w:pStyle w:val="Normal"/>
        <w:widowControl/>
        <w:bidi w:val="0"/>
        <w:spacing w:lineRule="auto" w:line="240" w:before="144" w:after="115"/>
        <w:ind w:left="720" w:right="0" w:hanging="360"/>
        <w:jc w:val="left"/>
        <w:rPr/>
      </w:pPr>
      <w:r>
        <w:rPr>
          <w:rStyle w:val="Emphasis"/>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single"/>
          <w:effect w:val="none"/>
          <w:shd w:fill="auto" w:val="clear"/>
          <w:em w:val="none"/>
          <w:lang w:val="en-US"/>
        </w:rPr>
        <w:t>China-related</w:t>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Fishing vessel project in jeopardy in land row with Chinese firm</w:t>
      </w:r>
    </w:p>
    <w:p>
      <w:pPr>
        <w:pStyle w:val="Normal"/>
        <w:numPr>
          <w:ilvl w:val="0"/>
          <w:numId w:val="4"/>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A court ruling in favour of M/s China Communication Construction Company (CCCC) in a land row has put in limbo a Kshs 40.8 billion (US$ 316.78 million) construction of fishing vessels project. CCCC and local firm - M/s South Sea Service Ltd. (SSS) are both laying claim to the land where the latter plans to implement the project.</w:t>
      </w:r>
    </w:p>
    <w:p>
      <w:pPr>
        <w:pStyle w:val="Normal"/>
        <w:numPr>
          <w:ilvl w:val="0"/>
          <w:numId w:val="4"/>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The dispute has stalled the construction of the fishing vessels, putting the future of the project, considered crucial for Kenya's blue economy initiative, at risk. </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Chinese firms in deal to upgrade Nairobi's sanitation </w:t>
      </w:r>
    </w:p>
    <w:p>
      <w:pPr>
        <w:pStyle w:val="Normal"/>
        <w:numPr>
          <w:ilvl w:val="0"/>
          <w:numId w:val="15"/>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 joint venture of two Chinese firms, M/s Zhongmei Engineering Group and M/s Hunan Construction Investment has been awarded a Kshs 3 billion (US$ 23.29 million) contract to upgrade Nairobi's sanitation and water infrastructure. The project, focusing on the western corridor, includes a 19.7km transmission pipeline, a 5,500-cubic-metre storage tank in Karen and 63kms of new sewer lines to benefit 250,000 residents. </w:t>
      </w:r>
    </w:p>
    <w:p>
      <w:pPr>
        <w:pStyle w:val="Normal"/>
        <w:numPr>
          <w:ilvl w:val="0"/>
          <w:numId w:val="15"/>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This is a major shift, as previously, GOK funded similar projects as opposed to invoking public-private partnerships (PPPs) for such sanitation infrastructure developments. </w:t>
      </w:r>
    </w:p>
    <w:p>
      <w:pPr>
        <w:pStyle w:val="Normal"/>
        <w:widowControl/>
        <w:bidi w:val="0"/>
        <w:spacing w:lineRule="auto" w:line="240" w:before="144" w:after="115"/>
        <w:ind w:right="0" w:hanging="0"/>
        <w:jc w:val="left"/>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single"/>
          <w:effect w:val="none"/>
          <w:shd w:fill="auto" w:val="clear"/>
          <w:em w:val="none"/>
          <w:lang w:val="en-US"/>
        </w:rPr>
        <w:t>General</w:t>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GOK projects Kshs 370 billion revenue from Turkana oil project</w:t>
      </w:r>
    </w:p>
    <w:p>
      <w:pPr>
        <w:pStyle w:val="Normal"/>
        <w:numPr>
          <w:ilvl w:val="0"/>
          <w:numId w:val="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Following regulator Energy and Petroleum Regulatory Authority (EPRA) was reported to be planning to to engage a consultancy for an independent review of M/s Gulf Energy’s Field Development Plan (FDP) for the Turkana oil project, Treasury CS John Mbadi projected Kshs 370 billion (US$ 2.87 billion) in revenues from it. Much deferred due to among others, bureaucratic regulatory process, key stakeholder exits and financial constraints of former project owner, M/s Tullow Oil Plc, Kenya’s oil producing country dream could be in the offing.</w:t>
      </w:r>
    </w:p>
    <w:p>
      <w:pPr>
        <w:pStyle w:val="Normal"/>
        <w:numPr>
          <w:ilvl w:val="0"/>
          <w:numId w:val="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The plan has already received the Ministry of Energy and Cabinet approvals and now awaiting Parliament’s decision as M/s Gulf Energy plans to invest approximately Kshs 774 billion (US$ 6 billion) in the project, with crude oil production targeted to commence by December 01, 2026.</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Treasury warns US investors over revised plans for Nairobi-Mombasa expressway</w:t>
      </w:r>
    </w:p>
    <w:p>
      <w:pPr>
        <w:pStyle w:val="Normal"/>
        <w:numPr>
          <w:ilvl w:val="0"/>
          <w:numId w:val="1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National Treasury issued an ultimatum to US investors behind the proposed Nairobi-Mombasa Expressway, warning the project will be abandoned if a revised plan fails to meet thresholds set by the Kenya National Highways Authority (KeNHA).</w:t>
      </w:r>
    </w:p>
    <w:p>
      <w:pPr>
        <w:pStyle w:val="Normal"/>
        <w:numPr>
          <w:ilvl w:val="0"/>
          <w:numId w:val="1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According to Treasury CS John Mbadi, if the revised report by M/s Everstrong Capital, a US private equity firm, fails to meet the mandatory evaluation criteria, </w:t>
      </w:r>
      <w:r>
        <w:rPr>
          <w:rFonts w:ascii="TIMES NEW ROMAN" w:hAnsi="TIMES NEW ROMAN"/>
          <w:b w:val="false"/>
          <w:i w:val="false"/>
          <w:caps w:val="false"/>
          <w:smallCaps w:val="false"/>
          <w:color w:val="auto"/>
          <w:spacing w:val="0"/>
          <w:sz w:val="25"/>
          <w:szCs w:val="25"/>
        </w:rPr>
        <w:t xml:space="preserve">KeNHA will treat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the Kshs 468 billion (US$ 3.63 billion) </w:t>
      </w:r>
      <w:r>
        <w:rPr>
          <w:rFonts w:ascii="TIMES NEW ROMAN" w:hAnsi="TIMES NEW ROMAN"/>
          <w:b w:val="false"/>
          <w:i w:val="false"/>
          <w:caps w:val="false"/>
          <w:smallCaps w:val="false"/>
          <w:color w:val="auto"/>
          <w:spacing w:val="0"/>
          <w:sz w:val="25"/>
          <w:szCs w:val="25"/>
        </w:rPr>
        <w:t>project as abandoned and open it to competitive bidding under standard procurement laws.</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Kenya’s electricity imports surpass thermal output</w:t>
      </w:r>
    </w:p>
    <w:p>
      <w:pPr>
        <w:pStyle w:val="Normal"/>
        <w:numPr>
          <w:ilvl w:val="0"/>
          <w:numId w:val="1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Provisional KNBS data showed imports as fastest growing source of electricity in the country over the last two years. Kenya’s electricity is supplied by Kenya Electricity Generating Company (KENGEN) </w:t>
      </w:r>
      <w:r>
        <w:rPr>
          <w:rStyle w:val="Strong"/>
          <w:rFonts w:eastAsia="Bookman Old Style" w:cs="Leelawadee" w:ascii="TIMES NEW ROMAN" w:hAnsi="TIMES NEW ROMAN"/>
          <w:b w:val="false"/>
          <w:bCs w:val="false"/>
          <w:i/>
          <w:iCs/>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(about 58.97),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Independent Power Producers (PPPs) and imports from Uganda, Ethiopia and Tanzania, the latter now at above 10% from about 4% in FY 2022-23. </w:t>
      </w:r>
    </w:p>
    <w:p>
      <w:pPr>
        <w:pStyle w:val="Normal"/>
        <w:numPr>
          <w:ilvl w:val="0"/>
          <w:numId w:val="1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In terms of the energy mix, geothermal continues as lead source at about 39.51%, hydro (24.21%), wind (13.18%), imports (10.60%), thermal (8.62%), solar (3.27%) and off-grid (0.61). The aforementionedshift began in 2023, when imports jumped the expensive diesel-run thermal plants, a trend that continued into 2025 and buoyed by a series of new peak power demands, the latest being 2,444.40Mw in mid-January 206. </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Court now blocks rice imports on contempt by government</w:t>
      </w:r>
    </w:p>
    <w:p>
      <w:pPr>
        <w:pStyle w:val="Normal"/>
        <w:numPr>
          <w:ilvl w:val="0"/>
          <w:numId w:val="3"/>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Ruling that the government acted in contempt of court by importing duty-free rice on January 16, 2026, the Kerugoya High Court has now blocked the same. </w:t>
      </w:r>
    </w:p>
    <w:p>
      <w:pPr>
        <w:pStyle w:val="Normal"/>
        <w:numPr>
          <w:ilvl w:val="0"/>
          <w:numId w:val="3"/>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According to the court, despite a order staying the implementation of the gazette notice allowing import of 254,000 metric tonnes of duty-free rice to be done in three phases - 85,000 tonnes on March 1, April 1, and May 1, 2026, GOK had been given 30 days to clear locally produced rice before the same. The matter is scheduled to be mentioned on March 2, 2026, to confirm compliance with the court's directions.</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Kiharu MP still in push for M/s Safaricom part sale</w:t>
      </w:r>
    </w:p>
    <w:p>
      <w:pPr>
        <w:pStyle w:val="Normal"/>
        <w:numPr>
          <w:ilvl w:val="0"/>
          <w:numId w:val="18"/>
        </w:numPr>
        <w:bidi w:val="0"/>
        <w:spacing w:lineRule="auto" w:line="24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Albeit the February 16, 2026 closure of public hearings on GOK proposal to sell 15% of its stake in M/s Safaricom Plc, one of its vocal opponents, Kiharu MP Ndindi Nyoro is still pushing for its immediate halt. According to the MP, insisting on low returns on investment (ROI), the proposed </w:t>
      </w:r>
      <w:r>
        <w:rPr>
          <w:rStyle w:val="Strong"/>
          <w:rFonts w:eastAsia="Calibri"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Kshs 244.5 billion (US$ 1.90 billion) in earnings to GOK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sale must also be advertised internationally. The aforementioned process highlighted strong support for the divestiture, tempered by concerns over potential misuse of funds as GOK seeks to balance fiscal consolidation with infrastructure expansion.</w:t>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US avers Kenya has free hand in health pact decision</w:t>
      </w:r>
    </w:p>
    <w:p>
      <w:pPr>
        <w:pStyle w:val="Normal"/>
        <w:numPr>
          <w:ilvl w:val="0"/>
          <w:numId w:val="19"/>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US Charge d’Affaires to Kenya, Susan Burns has averred at the latter’s free will to decide on the US$ 1.6 billion bilateral health cooperation agreement signed on December 04, 2025.</w:t>
      </w:r>
    </w:p>
    <w:p>
      <w:pPr>
        <w:pStyle w:val="Normal"/>
        <w:numPr>
          <w:ilvl w:val="0"/>
          <w:numId w:val="19"/>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Reportedly, the US suspended the said pact with Kenya following a December 11, 2025 High Court ruling on a petition by the Consumer Federation of Kenya (COFEK) and Senator Okiya Omtatah that raised concerns over the transfer of sensitive health data to U.S. systems. Meanwhile, the High Court is expected to issue a full determination on the agreement, after which Kenya and the US are likely to renegotiate terms.</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Kenya’s horticulture sector eyes new markets away from EU</w:t>
      </w:r>
    </w:p>
    <w:p>
      <w:pPr>
        <w:pStyle w:val="Normal"/>
        <w:numPr>
          <w:ilvl w:val="0"/>
          <w:numId w:val="20"/>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Seeking to avoid stringent, costly, and increasingly complex EU regulations on pesticides and environmental compliance, Kenya's horticulture exporters are actively pursuing alternative Asia and the Middle East markets, according to Agriculture and Food Authority Director General Bruno Linyiru. While EU remains a top market, new destinations including UAE and Saudi Arabia offer reduced risk and higher returns for flowers, fruits, and vegetables.</w:t>
      </w:r>
    </w:p>
    <w:p>
      <w:pPr>
        <w:pStyle w:val="Normal"/>
        <w:numPr>
          <w:ilvl w:val="0"/>
          <w:numId w:val="20"/>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Together with Spain, the two countries saw significant rise in Kenya’s horticultural import value in Q3 2025, supported by the push for bilateral trade agreements and engagements. </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KAM pushes for lower power tariffs and tax cuts</w:t>
      </w:r>
    </w:p>
    <w:p>
      <w:pPr>
        <w:pStyle w:val="Normal"/>
        <w:numPr>
          <w:ilvl w:val="0"/>
          <w:numId w:val="21"/>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Manufacturers lobby - Kenya Association of Manufacturers has urged for lower electricity costs and zero taxation on industrial raw materials in order to increase factory production and boost the sector’s competitiveness. In its 2026 Manufacturing Priority Agenda, KAM also called for a more stable tax and policy environment, including developing regional trade arrangements to enhance access to certain inputs duty-free.</w:t>
      </w:r>
    </w:p>
    <w:p>
      <w:pPr>
        <w:pStyle w:val="Normal"/>
        <w:numPr>
          <w:ilvl w:val="0"/>
          <w:numId w:val="21"/>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At 7.3%, the industry current contribution to GDP remains far below the 20% target, not to mention the bid to attract up to US$ 10 billion in FDI through value addition. </w:t>
      </w:r>
    </w:p>
    <w:p>
      <w:pPr>
        <w:pStyle w:val="Normal"/>
        <w:bidi w:val="0"/>
        <w:jc w:val="both"/>
        <w:rPr>
          <w:rStyle w:val="Strong"/>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Shippers push for speedy resolution of Mombasa port vessel delays</w:t>
      </w:r>
    </w:p>
    <w:p>
      <w:pPr>
        <w:pStyle w:val="Normal"/>
        <w:numPr>
          <w:ilvl w:val="0"/>
          <w:numId w:val="2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The Kenya Ships Agents Association (KSAA) has urged for urgent measures to ease congestion and improve operations at the Mombasa port. Concerns have been raised over infrastructure strain and operational delays linked to increased cargo traffic at the facility which handled 45.45 million MT of cargo last year compared to 40.99 million MT in 2024.</w:t>
      </w:r>
    </w:p>
    <w:p>
      <w:pPr>
        <w:pStyle w:val="Normal"/>
        <w:numPr>
          <w:ilvl w:val="0"/>
          <w:numId w:val="22"/>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Among envisaged interventions include the ongoing rehabilitation of berth 19B to expand cargo handling capacity, alongside the construction of a dedicated yard to manage empty containers, which have been contributing to congestion. </w:t>
      </w:r>
    </w:p>
    <w:p>
      <w:pPr>
        <w:pStyle w:val="Normal"/>
        <w:bidi w:val="0"/>
        <w:jc w:val="both"/>
        <w:rPr>
          <w:rStyle w:val="Strong"/>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000000"/>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PWC calls for acquisition investors for wound up M/s Koko Networks</w:t>
      </w:r>
    </w:p>
    <w:p>
      <w:pPr>
        <w:pStyle w:val="Normal"/>
        <w:numPr>
          <w:ilvl w:val="0"/>
          <w:numId w:val="23"/>
        </w:numPr>
        <w:bidi w:val="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Weeks after announcement of closure, the appointed administrator of local clean energy cooking startup, Koko Networks has invited investors for a going concern rescue or acquisition of its specific assets EOI. The firm that sold biofuel and fuels derived from biomass, laid off its entire 700-person workforce and shut down operations after the government blocked its sale of carbon credits. </w:t>
      </w:r>
    </w:p>
    <w:p>
      <w:pPr>
        <w:pStyle w:val="Normal"/>
        <w:numPr>
          <w:ilvl w:val="0"/>
          <w:numId w:val="23"/>
        </w:numPr>
        <w:bidi w:val="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The development points the vulnerability of business models structurally dependent on regulatory approval as a precondition for revenue realization, in this case carbon credit monetization. Notably, barely a year ago, M/s Koko Networks secured a Kshs 23.18 billion (US$ 179.64 million) guarantee from the World Bank to support its expansion in Kenya.</w:t>
      </w:r>
    </w:p>
    <w:p>
      <w:pPr>
        <w:pStyle w:val="Normal"/>
        <w:numPr>
          <w:ilvl w:val="0"/>
          <w:numId w:val="1"/>
        </w:numPr>
        <w:bidi w:val="0"/>
        <w:jc w:val="both"/>
        <w:rPr/>
      </w:pPr>
      <w:r>
        <w:rPr>
          <w:rStyle w:val="InternetLink"/>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High Commissioner in push for increased Indian investors in Coast SEZs</w:t>
      </w:r>
    </w:p>
    <w:p>
      <w:pPr>
        <w:pStyle w:val="Normal"/>
        <w:numPr>
          <w:ilvl w:val="0"/>
          <w:numId w:val="24"/>
        </w:numPr>
        <w:bidi w:val="0"/>
        <w:jc w:val="both"/>
        <w:rPr/>
      </w:pPr>
      <w:r>
        <w:rPr>
          <w:rStyle w:val="InternetLink"/>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On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February 12, 2026, High Commissioner Dr. Adarsh Swaika visited Special Economic Zones (SEZs) along Kenya’s Coast, aiming to explore opportunities for Indian investments. With focus areas of interest including industrialisation, manufacturing and value-added production, HC met with various interlocutors, including existing Indian investors in the region and local authorities.</w:t>
      </w:r>
    </w:p>
    <w:p>
      <w:pPr>
        <w:pStyle w:val="Normal"/>
        <w:numPr>
          <w:ilvl w:val="0"/>
          <w:numId w:val="24"/>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The visit was part of ongoing efforts to bolster India-Kenya economic cooperation, with bilateral trade valued at over US$ 2 billion and over 200 Indian companies already investing in the Kenyan economy, according to the Kenya Investment Authority (KENINVEST). </w:t>
      </w:r>
    </w:p>
    <w:p>
      <w:pPr>
        <w:pStyle w:val="Normal"/>
        <w:bidi w:val="0"/>
        <w:jc w:val="both"/>
        <w:rPr>
          <w:rFonts w:ascii="TIMES NEW ROMAN" w:hAnsi="TIMES NEW ROMAN" w:eastAsia="Bookman Old Style" w:cs="Leelawadee"/>
          <w:b/>
          <w:bCs/>
          <w:i w:val="false"/>
          <w:i w:val="false"/>
          <w:iCs w:val="false"/>
          <w:caps w:val="false"/>
          <w:smallCaps w:val="false"/>
          <w:strike w:val="false"/>
          <w:dstrike w:val="false"/>
          <w:outline w:val="false"/>
          <w:shadow w:val="false"/>
          <w:color w:val="auto"/>
          <w:spacing w:val="0"/>
          <w:kern w:val="0"/>
          <w:sz w:val="25"/>
          <w:szCs w:val="25"/>
          <w:highlight w:val="none"/>
          <w:u w:val="none"/>
          <w:effect w:val="none"/>
          <w:shd w:fill="auto" w:val="clear"/>
          <w:em w:val="none"/>
          <w:lang w:val="en-US" w:eastAsia="en-US" w:bidi="ar-SA"/>
        </w:rPr>
      </w:pPr>
      <w:r>
        <w:rPr>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KEBS urges for ISO standards adoption</w:t>
      </w:r>
    </w:p>
    <w:p>
      <w:pPr>
        <w:pStyle w:val="Normal"/>
        <w:numPr>
          <w:ilvl w:val="0"/>
          <w:numId w:val="25"/>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Kenya Bureau of Standards (KEBS) Acting Managing Director Esther Ngari urged more local firms and institutions to adopt International Organization for Standardization (ISO) management systems to enhance competitiveness, ensure consumer safety, and eliminate technical barriers to trade.</w:t>
      </w:r>
    </w:p>
    <w:p>
      <w:pPr>
        <w:pStyle w:val="Normal"/>
        <w:numPr>
          <w:ilvl w:val="0"/>
          <w:numId w:val="25"/>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This as GOK prepares to host the ISO Annual Meeting in 2028. The event will bring together experts, policymakers, and industry leaders to discuss how standards can address global challenges such as climate change, sustainable development and trade. </w:t>
      </w:r>
    </w:p>
    <w:p>
      <w:pPr>
        <w:pStyle w:val="Normal"/>
        <w:bidi w:val="0"/>
        <w:jc w:val="both"/>
        <w:rPr>
          <w:rFonts w:ascii="TIMES NEW ROMAN" w:hAnsi="TIMES NEW ROMAN" w:eastAsia="Bookman Old Style" w:cs="Leelawadee"/>
          <w:b w:val="false"/>
          <w:bCs w:val="false"/>
          <w:i w:val="false"/>
          <w:i w:val="false"/>
          <w:iCs w:val="false"/>
          <w:caps w:val="false"/>
          <w:smallCaps w:val="false"/>
          <w:strike w:val="false"/>
          <w:dstrike w:val="false"/>
          <w:outline w:val="false"/>
          <w:shadow w:val="false"/>
          <w:color w:val="auto"/>
          <w:spacing w:val="0"/>
          <w:kern w:val="0"/>
          <w:sz w:val="25"/>
          <w:szCs w:val="25"/>
          <w:u w:val="none"/>
          <w:effect w:val="none"/>
          <w:shd w:fill="auto" w:val="clear"/>
          <w:em w:val="none"/>
          <w:lang w:val="en-US" w:eastAsia="en-US" w:bidi="ar-SA"/>
        </w:rPr>
      </w:pPr>
      <w:r>
        <w:rPr>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M/s Airtel Kenya partners with M/s Starlink in internet expansion bid</w:t>
      </w:r>
    </w:p>
    <w:p>
      <w:pPr>
        <w:pStyle w:val="Normal"/>
        <w:numPr>
          <w:ilvl w:val="0"/>
          <w:numId w:val="2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M/s Airtel Kenya has partnered with satellite internet provider, M/s Starlink to extend high-speed internet connectivity to rural underserved parts of Kenya. Sector disruptive, the development not only marks significant step toward bridging the country’s digital divide but also challenges local telecommunications giant, Safaricom's long-standing dominance in the mobile broadband market.</w:t>
      </w:r>
    </w:p>
    <w:p>
      <w:pPr>
        <w:pStyle w:val="Normal"/>
        <w:numPr>
          <w:ilvl w:val="0"/>
          <w:numId w:val="26"/>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With the cost of internet access remaining a barrier in Kenya, M/s Airtel Kenya’s addressing the critical “last mile” connectivity issue will definitely expand its local customer base while availing consumers cheaper options through reduced tariffs and improved service quality.</w:t>
      </w:r>
    </w:p>
    <w:p>
      <w:pPr>
        <w:pStyle w:val="Normal"/>
        <w:jc w:val="both"/>
        <w:rPr>
          <w:rFonts w:ascii="TIMES NEW ROMAN" w:hAnsi="TIMES NEW ROMAN" w:eastAsia="Bookman Old Style" w:cs="Leelawadee"/>
          <w:i w:val="false"/>
          <w:i w:val="false"/>
          <w:iCs w:val="false"/>
          <w:caps w:val="false"/>
          <w:smallCaps w:val="false"/>
          <w:strike w:val="false"/>
          <w:dstrike w:val="false"/>
          <w:outline w:val="false"/>
          <w:shadow w:val="false"/>
          <w:color w:val="auto"/>
          <w:spacing w:val="0"/>
          <w:kern w:val="2"/>
          <w:sz w:val="25"/>
          <w:szCs w:val="25"/>
          <w:u w:val="none"/>
          <w:effect w:val="none"/>
          <w:shd w:fill="auto" w:val="clear"/>
          <w:em w:val="none"/>
          <w:lang w:val="en-US" w:eastAsia="zh-CN" w:bidi="hi-IN"/>
        </w:rPr>
      </w:pPr>
      <w:r>
        <w:rPr>
          <w:rFonts w:eastAsia="Bookman Old Style" w:cs="Leelawadee" w:ascii="TIMES NEW ROMAN" w:hAnsi="TIMES NEW ROMAN"/>
          <w:i w:val="false"/>
          <w:iCs w:val="false"/>
          <w:caps w:val="false"/>
          <w:smallCaps w:val="false"/>
          <w:strike w:val="false"/>
          <w:dstrike w:val="false"/>
          <w:outline w:val="false"/>
          <w:shadow w:val="false"/>
          <w:color w:val="000000"/>
          <w:spacing w:val="0"/>
          <w:kern w:val="2"/>
          <w:sz w:val="25"/>
          <w:szCs w:val="25"/>
          <w:u w:val="none"/>
          <w:effect w:val="none"/>
          <w:shd w:fill="auto" w:val="clear"/>
          <w:em w:val="none"/>
          <w:lang w:val="en-US" w:eastAsia="zh-CN" w:bidi="hi-IN"/>
        </w:rPr>
      </w:r>
    </w:p>
    <w:p>
      <w:pPr>
        <w:pStyle w:val="Normal"/>
        <w:numPr>
          <w:ilvl w:val="0"/>
          <w:numId w:val="1"/>
        </w:numPr>
        <w:bidi w:val="0"/>
        <w:jc w:val="both"/>
        <w:rPr/>
      </w:pPr>
      <w:r>
        <w:rPr>
          <w:rStyle w:val="Strong"/>
          <w:rFonts w:eastAsia="Bookman Old Style" w:cs="Leelawadee" w:ascii="TIMES NEW ROMAN" w:hAnsi="TIMES NEW ROMAN"/>
          <w:b/>
          <w:bCs/>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GOK now plans gold refinery project in Kakamega</w:t>
      </w:r>
    </w:p>
    <w:p>
      <w:pPr>
        <w:pStyle w:val="Normal"/>
        <w:numPr>
          <w:ilvl w:val="0"/>
          <w:numId w:val="2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kern w:val="0"/>
          <w:sz w:val="25"/>
          <w:szCs w:val="25"/>
          <w:u w:val="none"/>
          <w:effect w:val="none"/>
          <w:shd w:fill="auto" w:val="clear"/>
          <w:em w:val="none"/>
          <w:lang w:val="en-US" w:eastAsia="en-US" w:bidi="ar-SA"/>
        </w:rPr>
        <w:t xml:space="preserve">Having </w:t>
      </w: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intervened in M/s Shanta Gold exploration project following protest against it by local residents, in partnership with PH-NUO China Company, GOK now plans to establish a Kshs 5.8 billion (US$ 45.03 million) refinery in Kakamega county. Last December saw deadly protests following an environmental impact assessment (EIA) report by the British firm which disclosed discovery of reserves of the mineral therein with estimated value of Kshs 683.04 billion (US$ 5.28 billion). </w:t>
      </w:r>
    </w:p>
    <w:p>
      <w:pPr>
        <w:pStyle w:val="Normal"/>
        <w:numPr>
          <w:ilvl w:val="0"/>
          <w:numId w:val="27"/>
        </w:numPr>
        <w:bidi w:val="0"/>
        <w:jc w:val="both"/>
        <w:rPr/>
      </w:pPr>
      <w:r>
        <w:rPr>
          <w:rStyle w:val="Strong"/>
          <w:rFonts w:eastAsia="Bookman Old Style" w:cs="Leelawadee" w:ascii="TIMES NEW ROMAN" w:hAnsi="TIMES NEW ROMAN"/>
          <w:b w:val="false"/>
          <w:bCs w:val="false"/>
          <w:i w:val="false"/>
          <w:iCs w:val="false"/>
          <w:caps w:val="false"/>
          <w:smallCaps w:val="false"/>
          <w:strike w:val="false"/>
          <w:dstrike w:val="false"/>
          <w:outline w:val="false"/>
          <w:shadow w:val="false"/>
          <w:color w:val="000000"/>
          <w:spacing w:val="0"/>
          <w:sz w:val="25"/>
          <w:szCs w:val="25"/>
          <w:u w:val="none"/>
          <w:effect w:val="none"/>
          <w:shd w:fill="auto" w:val="clear"/>
          <w:em w:val="none"/>
          <w:lang w:val="en-US"/>
        </w:rPr>
        <w:t xml:space="preserve">This was not the first time the public had rejected the exploration of minerals in their regions with the other notable one being Lamu residents opposing a planned 1,050-megawatt Lamu coal fired power plant despite NEMA’s approval. This begged the question as to whether there is adequate community involvement in decisions bound to affect them. </w:t>
      </w:r>
    </w:p>
    <w:p>
      <w:pPr>
        <w:pStyle w:val="TextBody"/>
        <w:spacing w:before="0" w:after="0"/>
        <w:rPr>
          <w:rFonts w:ascii="TIMES NEW ROMAN" w:hAnsi="TIMES NEW ROMAN"/>
          <w:color w:val="auto"/>
          <w:sz w:val="25"/>
          <w:szCs w:val="25"/>
        </w:rPr>
      </w:pPr>
      <w:r>
        <w:rPr>
          <w:rFonts w:ascii="TIMES NEW ROMAN" w:hAnsi="TIMES NEW ROMAN"/>
          <w:color w:val="auto"/>
          <w:sz w:val="25"/>
          <w:szCs w:val="25"/>
        </w:rPr>
      </w:r>
    </w:p>
    <w:sectPr>
      <w:type w:val="nextPage"/>
      <w:pgSz w:w="12240" w:h="15840"/>
      <w:pgMar w:left="1134" w:right="1131"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ans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ans CJK SC" w:cs="Lohit Devanagari"/>
      <w:b/>
      <w:bCs/>
      <w:sz w:val="48"/>
      <w:szCs w:val="48"/>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oto Sans CJK SC" w:cs="Lohit Devanagari"/>
      <w:b/>
      <w:bCs/>
      <w:sz w:val="28"/>
      <w:szCs w:val="28"/>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ellum.co.ke/kenya-in-strategic-push-to-exit-the-fatf-grey-lis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3179</TotalTime>
  <Application>LibreOffice/7.5.9.2$Linux_X86_64 LibreOffice_project/50$Build-2</Application>
  <AppVersion>15.0000</AppVersion>
  <Pages>6</Pages>
  <Words>3057</Words>
  <Characters>16647</Characters>
  <CharactersWithSpaces>19571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2025-10-24T13:19:37Z</dcterms:created>
  <dc:creator/>
  <dc:description/>
  <dc:language>en-US</dc:language>
  <cp:lastModifiedBy/>
  <cp:lastPrinted>2026-02-24T14:38:40Z</cp:lastPrinted>
  <dcterms:modified xsi:type="dcterms:W3CDTF">2026-02-24T14:39:44Z</dcterms:modified>
  <cp:revision>485</cp:revision>
  <dc:subject/>
  <dc:title/>
</cp:coreProperties>
</file>

<file path=docProps/custom.xml><?xml version="1.0" encoding="utf-8"?>
<Properties xmlns="http://schemas.openxmlformats.org/officeDocument/2006/custom-properties" xmlns:vt="http://schemas.openxmlformats.org/officeDocument/2006/docPropsVTypes"/>
</file>